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C97" w:rsidRDefault="00AD3B7F">
      <w:pPr>
        <w:pStyle w:val="2"/>
        <w:spacing w:line="360" w:lineRule="auto"/>
        <w:rPr>
          <w:rFonts w:eastAsia="宋体" w:hAnsi="Times New Roman" w:hint="default"/>
        </w:rPr>
      </w:pPr>
      <w:bookmarkStart w:id="0" w:name="_GoBack"/>
      <w:bookmarkEnd w:id="0"/>
      <w:r>
        <w:t>《资产定价理论基础》（双语）课程中英文简介</w:t>
      </w:r>
    </w:p>
    <w:p w:rsidR="00AA2C97" w:rsidRDefault="00AD3B7F">
      <w:pPr>
        <w:spacing w:line="360" w:lineRule="auto"/>
        <w:jc w:val="center"/>
        <w:rPr>
          <w:rFonts w:ascii="Times New Roman" w:hAnsi="Times New Roman" w:hint="default"/>
          <w:sz w:val="28"/>
        </w:rPr>
      </w:pPr>
      <w:r>
        <w:rPr>
          <w:rFonts w:ascii="Times New Roman" w:hAnsi="Times New Roman" w:hint="default"/>
          <w:sz w:val="28"/>
        </w:rPr>
        <w:t>The Fundamental Theory of Asset Pricing (Bilingual)</w:t>
      </w:r>
    </w:p>
    <w:p w:rsidR="00AA2C97" w:rsidRDefault="00AA2C97">
      <w:pPr>
        <w:spacing w:line="360" w:lineRule="auto"/>
        <w:jc w:val="center"/>
        <w:rPr>
          <w:rFonts w:ascii="Times New Roman" w:eastAsia="Times New Roman" w:hint="default"/>
        </w:rPr>
      </w:pPr>
    </w:p>
    <w:p w:rsidR="00AA2C97" w:rsidRDefault="00AD3B7F">
      <w:pPr>
        <w:pStyle w:val="a3"/>
        <w:tabs>
          <w:tab w:val="left" w:pos="3402"/>
          <w:tab w:val="left" w:pos="3600"/>
          <w:tab w:val="left" w:pos="8522"/>
        </w:tabs>
        <w:spacing w:line="360" w:lineRule="auto"/>
        <w:rPr>
          <w:rFonts w:ascii="Times New Roman" w:eastAsia="黑体" w:hAnsi="Times New Roman" w:hint="default"/>
          <w:color w:val="auto"/>
          <w:sz w:val="21"/>
        </w:rPr>
      </w:pPr>
      <w:r>
        <w:rPr>
          <w:rFonts w:ascii="Times New Roman" w:eastAsia="黑体" w:hAnsi="Times New Roman"/>
          <w:color w:val="auto"/>
          <w:sz w:val="21"/>
        </w:rPr>
        <w:t>课程代码：</w:t>
      </w:r>
      <w:r>
        <w:rPr>
          <w:rFonts w:ascii="黑体" w:eastAsia="黑体" w:hAnsi="黑体" w:cs="黑体"/>
          <w:color w:val="auto"/>
          <w:sz w:val="21"/>
        </w:rPr>
        <w:t>090152A</w:t>
      </w:r>
      <w:r>
        <w:rPr>
          <w:rFonts w:ascii="Times New Roman" w:eastAsia="黑体" w:hAnsi="Times New Roman" w:hint="default"/>
          <w:color w:val="auto"/>
          <w:sz w:val="21"/>
        </w:rPr>
        <w:tab/>
        <w:t>Course Code</w:t>
      </w:r>
      <w:r>
        <w:rPr>
          <w:rFonts w:ascii="Times New Roman" w:eastAsia="黑体" w:hAnsi="Times New Roman"/>
          <w:color w:val="auto"/>
          <w:sz w:val="21"/>
        </w:rPr>
        <w:t>：</w:t>
      </w:r>
      <w:r>
        <w:rPr>
          <w:rFonts w:ascii="Times New Roman" w:eastAsia="黑体" w:hAnsi="Times New Roman" w:hint="default"/>
          <w:color w:val="auto"/>
          <w:sz w:val="21"/>
        </w:rPr>
        <w:t>090152A</w:t>
      </w:r>
    </w:p>
    <w:p w:rsidR="00AA2C97" w:rsidRDefault="00AD3B7F">
      <w:pPr>
        <w:tabs>
          <w:tab w:val="left" w:pos="3402"/>
        </w:tabs>
        <w:spacing w:line="360" w:lineRule="auto"/>
        <w:rPr>
          <w:rFonts w:ascii="Times New Roman" w:eastAsia="黑体" w:hAnsi="Times New Roman" w:hint="default"/>
        </w:rPr>
      </w:pPr>
      <w:r>
        <w:rPr>
          <w:rFonts w:ascii="Times New Roman" w:eastAsia="黑体" w:hAnsi="Times New Roman"/>
        </w:rPr>
        <w:t>课程名称：资产定价理论基础</w:t>
      </w:r>
      <w:r>
        <w:rPr>
          <w:rFonts w:ascii="Times New Roman" w:eastAsia="黑体" w:hAnsi="Times New Roman" w:hint="default"/>
        </w:rPr>
        <w:tab/>
        <w:t>Course Name</w:t>
      </w:r>
      <w:r>
        <w:rPr>
          <w:rFonts w:ascii="Times New Roman" w:eastAsia="黑体" w:hAnsi="Times New Roman"/>
        </w:rPr>
        <w:t>：</w:t>
      </w:r>
      <w:r>
        <w:rPr>
          <w:rFonts w:ascii="Times New Roman" w:eastAsia="黑体" w:hAnsi="Times New Roman" w:hint="default"/>
        </w:rPr>
        <w:t>The Foundation of Asset Pricing Theory</w:t>
      </w:r>
    </w:p>
    <w:p w:rsidR="00AA2C97" w:rsidRDefault="00AD3B7F">
      <w:pPr>
        <w:pStyle w:val="a3"/>
        <w:tabs>
          <w:tab w:val="left" w:pos="3402"/>
          <w:tab w:val="left" w:pos="3840"/>
          <w:tab w:val="left" w:pos="8522"/>
        </w:tabs>
        <w:spacing w:line="360" w:lineRule="auto"/>
        <w:rPr>
          <w:rFonts w:ascii="Times New Roman" w:eastAsia="黑体" w:hAnsi="Times New Roman" w:cs="Times New Roman" w:hint="default"/>
          <w:color w:val="auto"/>
          <w:sz w:val="21"/>
        </w:rPr>
      </w:pPr>
      <w:r>
        <w:rPr>
          <w:rFonts w:ascii="黑体" w:eastAsia="黑体" w:hAnsi="黑体" w:cs="黑体"/>
          <w:color w:val="auto"/>
          <w:sz w:val="21"/>
        </w:rPr>
        <w:t>学    时：32</w:t>
      </w:r>
      <w:r>
        <w:rPr>
          <w:rFonts w:ascii="Times New Roman" w:eastAsia="黑体" w:hAnsi="Times New Roman" w:hint="default"/>
          <w:color w:val="auto"/>
          <w:sz w:val="21"/>
        </w:rPr>
        <w:tab/>
      </w:r>
      <w:r>
        <w:rPr>
          <w:rFonts w:ascii="Times New Roman" w:eastAsia="黑体" w:hAnsi="Times New Roman" w:cs="Times New Roman" w:hint="default"/>
          <w:color w:val="auto"/>
          <w:sz w:val="21"/>
        </w:rPr>
        <w:t>Periods</w:t>
      </w:r>
      <w:r>
        <w:rPr>
          <w:rFonts w:ascii="Times New Roman" w:eastAsia="黑体" w:hAnsi="Times New Roman" w:cs="Times New Roman" w:hint="default"/>
          <w:color w:val="auto"/>
          <w:sz w:val="21"/>
        </w:rPr>
        <w:t>：</w:t>
      </w:r>
      <w:r>
        <w:rPr>
          <w:rFonts w:ascii="Times New Roman" w:eastAsia="黑体" w:hAnsi="Times New Roman" w:cs="Times New Roman" w:hint="default"/>
          <w:color w:val="auto"/>
          <w:sz w:val="21"/>
        </w:rPr>
        <w:t>32</w:t>
      </w:r>
    </w:p>
    <w:p w:rsidR="00AA2C97" w:rsidRDefault="00AD3B7F">
      <w:pPr>
        <w:pStyle w:val="a3"/>
        <w:tabs>
          <w:tab w:val="left" w:pos="3402"/>
          <w:tab w:val="left" w:pos="3840"/>
          <w:tab w:val="left" w:pos="8522"/>
        </w:tabs>
        <w:spacing w:line="360" w:lineRule="auto"/>
        <w:rPr>
          <w:rFonts w:ascii="Times New Roman" w:eastAsia="黑体" w:hAnsi="Times New Roman" w:hint="default"/>
          <w:color w:val="auto"/>
          <w:sz w:val="21"/>
        </w:rPr>
      </w:pPr>
      <w:r>
        <w:rPr>
          <w:rFonts w:ascii="黑体" w:eastAsia="黑体" w:hAnsi="黑体" w:cs="黑体"/>
          <w:color w:val="auto"/>
          <w:sz w:val="21"/>
        </w:rPr>
        <w:t>学    分：2</w:t>
      </w:r>
      <w:r>
        <w:rPr>
          <w:rFonts w:ascii="Times New Roman" w:eastAsia="黑体" w:hAnsi="Times New Roman" w:hint="default"/>
          <w:color w:val="auto"/>
          <w:sz w:val="21"/>
        </w:rPr>
        <w:tab/>
        <w:t>Credits</w:t>
      </w:r>
      <w:r>
        <w:rPr>
          <w:rFonts w:ascii="Times New Roman" w:eastAsia="黑体" w:hAnsi="Times New Roman"/>
          <w:color w:val="auto"/>
          <w:sz w:val="21"/>
        </w:rPr>
        <w:t>：</w:t>
      </w:r>
      <w:r>
        <w:rPr>
          <w:rFonts w:ascii="Times New Roman" w:eastAsia="黑体" w:hAnsi="Times New Roman" w:hint="default"/>
          <w:color w:val="auto"/>
          <w:sz w:val="21"/>
        </w:rPr>
        <w:t>2</w:t>
      </w:r>
    </w:p>
    <w:p w:rsidR="00AA2C97" w:rsidRDefault="00AD3B7F">
      <w:pPr>
        <w:pStyle w:val="a3"/>
        <w:tabs>
          <w:tab w:val="left" w:pos="3402"/>
          <w:tab w:val="left" w:pos="3840"/>
          <w:tab w:val="left" w:pos="8522"/>
        </w:tabs>
        <w:spacing w:line="360" w:lineRule="auto"/>
        <w:rPr>
          <w:rFonts w:ascii="Times New Roman" w:eastAsia="黑体" w:hAnsi="Times New Roman" w:hint="default"/>
          <w:color w:val="auto"/>
          <w:sz w:val="21"/>
        </w:rPr>
      </w:pPr>
      <w:r>
        <w:rPr>
          <w:rFonts w:ascii="Times New Roman" w:eastAsia="黑体" w:hAnsi="Times New Roman"/>
          <w:color w:val="auto"/>
          <w:sz w:val="21"/>
        </w:rPr>
        <w:t>考核方式：考试</w:t>
      </w:r>
      <w:r>
        <w:rPr>
          <w:rFonts w:ascii="Times New Roman" w:eastAsia="黑体" w:hAnsi="Times New Roman" w:hint="default"/>
          <w:color w:val="auto"/>
          <w:sz w:val="21"/>
        </w:rPr>
        <w:tab/>
      </w:r>
      <w:r>
        <w:rPr>
          <w:rFonts w:ascii="Times New Roman" w:eastAsia="黑体" w:hAnsi="Times New Roman" w:cs="Times New Roman" w:hint="default"/>
          <w:color w:val="auto"/>
          <w:sz w:val="21"/>
        </w:rPr>
        <w:t>Assessment</w:t>
      </w:r>
      <w:r>
        <w:rPr>
          <w:rFonts w:ascii="Times New Roman" w:eastAsia="黑体" w:hAnsi="Times New Roman" w:cs="Times New Roman" w:hint="default"/>
          <w:color w:val="auto"/>
          <w:sz w:val="21"/>
        </w:rPr>
        <w:t>：</w:t>
      </w:r>
      <w:r>
        <w:rPr>
          <w:rFonts w:ascii="Times New Roman" w:eastAsia="黑体" w:hAnsi="Times New Roman" w:cs="Times New Roman" w:hint="default"/>
          <w:color w:val="auto"/>
          <w:sz w:val="21"/>
        </w:rPr>
        <w:t>Examination</w:t>
      </w:r>
    </w:p>
    <w:p w:rsidR="00AA2C97" w:rsidRDefault="00AD3B7F">
      <w:pPr>
        <w:pStyle w:val="a3"/>
        <w:tabs>
          <w:tab w:val="left" w:pos="3402"/>
          <w:tab w:val="left" w:pos="3840"/>
          <w:tab w:val="left" w:pos="8522"/>
        </w:tabs>
        <w:spacing w:line="360" w:lineRule="auto"/>
        <w:ind w:left="2625" w:hangingChars="1250" w:hanging="2625"/>
        <w:rPr>
          <w:rFonts w:ascii="Times New Roman" w:eastAsia="黑体" w:hAnsi="Times New Roman" w:hint="default"/>
          <w:color w:val="auto"/>
          <w:sz w:val="21"/>
        </w:rPr>
      </w:pPr>
      <w:r>
        <w:rPr>
          <w:rFonts w:ascii="Times New Roman" w:eastAsia="黑体" w:hAnsi="Times New Roman"/>
          <w:color w:val="auto"/>
          <w:sz w:val="21"/>
        </w:rPr>
        <w:t>先修课程：经济学、金融学等</w:t>
      </w:r>
      <w:r>
        <w:rPr>
          <w:rFonts w:ascii="Times New Roman" w:eastAsia="黑体" w:hAnsi="Times New Roman" w:hint="default"/>
          <w:color w:val="auto"/>
          <w:sz w:val="21"/>
        </w:rPr>
        <w:tab/>
      </w:r>
      <w:r>
        <w:rPr>
          <w:rFonts w:ascii="Times New Roman" w:eastAsia="黑体" w:hAnsi="Times New Roman" w:cs="Times New Roman" w:hint="default"/>
          <w:color w:val="auto"/>
          <w:sz w:val="21"/>
        </w:rPr>
        <w:t>Preparatory Courses</w:t>
      </w:r>
      <w:r>
        <w:rPr>
          <w:rFonts w:ascii="Times New Roman" w:eastAsia="黑体" w:hAnsi="Times New Roman" w:cs="Times New Roman" w:hint="default"/>
          <w:color w:val="auto"/>
          <w:sz w:val="21"/>
        </w:rPr>
        <w:t>：</w:t>
      </w:r>
      <w:r>
        <w:rPr>
          <w:rFonts w:ascii="Times New Roman" w:eastAsia="黑体" w:hAnsi="Times New Roman" w:cs="Times New Roman" w:hint="default"/>
          <w:color w:val="auto"/>
          <w:sz w:val="21"/>
        </w:rPr>
        <w:t>Economics, Finance etc</w:t>
      </w:r>
      <w:r>
        <w:rPr>
          <w:rFonts w:ascii="Times New Roman" w:eastAsia="黑体" w:hAnsi="Times New Roman" w:hint="default"/>
          <w:color w:val="auto"/>
          <w:sz w:val="21"/>
        </w:rPr>
        <w:t>.</w:t>
      </w:r>
    </w:p>
    <w:p w:rsidR="00AA2C97" w:rsidRDefault="00AA2C97">
      <w:pPr>
        <w:spacing w:line="360" w:lineRule="auto"/>
        <w:rPr>
          <w:rFonts w:ascii="Times New Roman" w:eastAsia="Times New Roman" w:hint="default"/>
        </w:rPr>
      </w:pPr>
    </w:p>
    <w:p w:rsidR="00AA2C97" w:rsidRDefault="00AD3B7F">
      <w:pPr>
        <w:spacing w:line="360" w:lineRule="auto"/>
        <w:ind w:firstLineChars="200" w:firstLine="420"/>
        <w:rPr>
          <w:rFonts w:ascii="Times New Roman" w:eastAsia="Times New Roman" w:hint="default"/>
        </w:rPr>
      </w:pPr>
      <w:r>
        <w:rPr>
          <w:rFonts w:ascii="Times New Roman" w:hAnsi="Times New Roman"/>
        </w:rPr>
        <w:t>《资产定价理论基础》（双语）是为以现代资产定价理论为核心，重点介绍与现代资产评估业务相关的重要基础原理和理论而开设的课程。</w:t>
      </w:r>
      <w:r>
        <w:rPr>
          <w:rFonts w:ascii="宋体" w:hAnsi="宋体"/>
          <w:kern w:val="0"/>
          <w:szCs w:val="21"/>
        </w:rPr>
        <w:t>通过本门课程的教学，使学生对于</w:t>
      </w:r>
      <w:r>
        <w:rPr>
          <w:rFonts w:ascii="Times New Roman" w:hAnsi="Times New Roman"/>
        </w:rPr>
        <w:t>资产评估业务实践的理论体系和理论逻辑有更为系统和全面的了解，探索资产定价的本质。</w:t>
      </w:r>
      <w:r>
        <w:t>能够使用书面和口头表达方式与国内外业界同行、社会公众就资产评估和定价领域的现象和问题进行有效沟通与交流。使学生创新能力和不断学习与适应发展的能力。</w:t>
      </w:r>
      <w:r>
        <w:rPr>
          <w:rFonts w:ascii="宋体" w:hAnsi="宋体"/>
          <w:kern w:val="0"/>
          <w:szCs w:val="21"/>
        </w:rPr>
        <w:t>教学过程中，</w:t>
      </w:r>
      <w:r>
        <w:rPr>
          <w:rFonts w:ascii="Times New Roman" w:hAnsi="Times New Roman"/>
        </w:rPr>
        <w:t>学术英语的理解和使用将是教学的重点之一</w:t>
      </w:r>
      <w:r>
        <w:rPr>
          <w:rFonts w:ascii="Times New Roman" w:hAnsi="Times New Roman" w:hint="default"/>
        </w:rPr>
        <w:t xml:space="preserve">, </w:t>
      </w:r>
      <w:r>
        <w:rPr>
          <w:rFonts w:ascii="Times New Roman" w:hAnsi="Times New Roman"/>
        </w:rPr>
        <w:t>学生英语的应用能力将被强调。力争提高学生学术英语水平</w:t>
      </w:r>
      <w:r>
        <w:rPr>
          <w:rFonts w:ascii="Times New Roman" w:eastAsia="Times New Roman" w:hint="default"/>
        </w:rPr>
        <w:t>,</w:t>
      </w:r>
      <w:r>
        <w:rPr>
          <w:rFonts w:ascii="Times New Roman" w:hAnsi="Times New Roman"/>
        </w:rPr>
        <w:t>为日后进一步的学习和研究打下基础。</w:t>
      </w:r>
    </w:p>
    <w:p w:rsidR="00AA2C97" w:rsidRDefault="00AD3B7F">
      <w:pPr>
        <w:widowControl/>
        <w:spacing w:line="500" w:lineRule="exact"/>
        <w:ind w:firstLineChars="200" w:firstLine="420"/>
        <w:rPr>
          <w:rFonts w:ascii="宋体" w:hAnsi="宋体" w:hint="default"/>
          <w:kern w:val="0"/>
          <w:szCs w:val="21"/>
        </w:rPr>
      </w:pPr>
      <w:r>
        <w:rPr>
          <w:rFonts w:ascii="宋体" w:hAnsi="宋体"/>
          <w:kern w:val="0"/>
          <w:szCs w:val="21"/>
        </w:rPr>
        <w:t>本课程是一门涉及资产定价理论的专业课程，它阐述了</w:t>
      </w:r>
      <w:r>
        <w:rPr>
          <w:rFonts w:ascii="Times New Roman" w:hAnsi="Times New Roman"/>
        </w:rPr>
        <w:t>效用、利率形成、风险与收益、市场均衡、套利、市场有效性等重要概念，同时对代资产组合理论、资本资产定价理论、套利定价理论及行为金融理论等重要学术成果进行学习、分析和探讨</w:t>
      </w:r>
      <w:r>
        <w:rPr>
          <w:rFonts w:ascii="宋体" w:hAnsi="宋体"/>
          <w:kern w:val="0"/>
          <w:szCs w:val="21"/>
        </w:rPr>
        <w:t>。</w:t>
      </w:r>
    </w:p>
    <w:p w:rsidR="00AA2C97" w:rsidRDefault="00AA2C97">
      <w:pPr>
        <w:spacing w:line="360" w:lineRule="auto"/>
        <w:ind w:firstLineChars="200" w:firstLine="420"/>
        <w:rPr>
          <w:rFonts w:ascii="Times New Roman" w:hAnsi="Times New Roman" w:hint="default"/>
        </w:rPr>
      </w:pPr>
    </w:p>
    <w:p w:rsidR="00AA2C97" w:rsidRDefault="00AA2C97">
      <w:pPr>
        <w:spacing w:line="360" w:lineRule="auto"/>
        <w:rPr>
          <w:rFonts w:ascii="Times New Roman" w:eastAsia="Times New Roman" w:hint="default"/>
        </w:rPr>
      </w:pPr>
    </w:p>
    <w:p w:rsidR="00AA2C97" w:rsidRDefault="00AD3B7F">
      <w:pPr>
        <w:spacing w:line="360" w:lineRule="auto"/>
        <w:ind w:firstLineChars="200" w:firstLine="420"/>
        <w:rPr>
          <w:rStyle w:val="longtext1"/>
          <w:rFonts w:hint="eastAsia"/>
          <w:sz w:val="21"/>
        </w:rPr>
      </w:pPr>
      <w:r>
        <w:rPr>
          <w:rFonts w:ascii="Times New Roman" w:hAnsi="Times New Roman"/>
        </w:rPr>
        <w:t>“</w:t>
      </w:r>
      <w:r>
        <w:rPr>
          <w:rFonts w:ascii="Times New Roman" w:hAnsi="Times New Roman" w:hint="default"/>
        </w:rPr>
        <w:t>The Fundamental Theory of Asset Pricing</w:t>
      </w:r>
      <w:r>
        <w:rPr>
          <w:rFonts w:ascii="Times New Roman" w:hAnsi="Times New Roman"/>
        </w:rPr>
        <w:t>”</w:t>
      </w:r>
      <w:r>
        <w:rPr>
          <w:rFonts w:ascii="Times New Roman" w:hAnsi="Times New Roman"/>
        </w:rPr>
        <w:t xml:space="preserve">is a course of valuation major, which focus on significant basic theories relating to valuation activities. Students will have a comprehensive understanding on theoretical system, logic and nature of asset pricing. Understanding and practice </w:t>
      </w:r>
      <w:r>
        <w:rPr>
          <w:rFonts w:ascii="Times New Roman" w:hAnsi="Times New Roman"/>
        </w:rPr>
        <w:lastRenderedPageBreak/>
        <w:t xml:space="preserve">of academic English will be concentrated </w:t>
      </w:r>
      <w:r>
        <w:rPr>
          <w:rFonts w:ascii="Times New Roman" w:hAnsi="Times New Roman" w:hint="default"/>
        </w:rPr>
        <w:t>he broadly-used English materials (including notes, reading materials, coursework and exam) will lay a better groundwork for their further research and study.</w:t>
      </w:r>
    </w:p>
    <w:p w:rsidR="00AA2C97" w:rsidRDefault="00AD3B7F">
      <w:pPr>
        <w:spacing w:line="360" w:lineRule="auto"/>
        <w:ind w:firstLineChars="200" w:firstLine="420"/>
        <w:rPr>
          <w:rStyle w:val="longtext1"/>
          <w:rFonts w:hint="eastAsia"/>
          <w:sz w:val="21"/>
        </w:rPr>
      </w:pPr>
      <w:r>
        <w:rPr>
          <w:rFonts w:ascii="Times New Roman" w:hAnsi="Times New Roman"/>
        </w:rPr>
        <w:t xml:space="preserve">The course </w:t>
      </w:r>
      <w:r>
        <w:rPr>
          <w:rFonts w:ascii="Times New Roman" w:hAnsi="Times New Roman" w:hint="default"/>
        </w:rPr>
        <w:t xml:space="preserve"> presents the core concepts of Asset Pricing theory, from the utility analysis to the formation of interest rate; the risk preference, the risk and return under uncertainty, arbitrage, and the EMH; the development of Modern Asset Pricing theory is also presented, from Mean Variance model to the Capital Asset Pricing Model, and then to Arbitrage Pricing Theory and Behavior Finance Theory. </w:t>
      </w:r>
    </w:p>
    <w:p w:rsidR="00AA2C97" w:rsidRDefault="00AA2C97">
      <w:pPr>
        <w:rPr>
          <w:rFonts w:hint="default"/>
        </w:rPr>
      </w:pPr>
    </w:p>
    <w:p w:rsidR="00AA2C97" w:rsidRDefault="00AA2C97">
      <w:pPr>
        <w:rPr>
          <w:rFonts w:hint="default"/>
        </w:rPr>
      </w:pPr>
    </w:p>
    <w:sectPr w:rsidR="00AA2C97" w:rsidSect="00AA2C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D78" w:rsidRDefault="001D6D78" w:rsidP="00315FD2">
      <w:pPr>
        <w:rPr>
          <w:rFonts w:hint="default"/>
        </w:rPr>
      </w:pPr>
      <w:r>
        <w:separator/>
      </w:r>
    </w:p>
  </w:endnote>
  <w:endnote w:type="continuationSeparator" w:id="0">
    <w:p w:rsidR="001D6D78" w:rsidRDefault="001D6D78" w:rsidP="00315FD2">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D78" w:rsidRDefault="001D6D78" w:rsidP="00315FD2">
      <w:pPr>
        <w:rPr>
          <w:rFonts w:hint="default"/>
        </w:rPr>
      </w:pPr>
      <w:r>
        <w:separator/>
      </w:r>
    </w:p>
  </w:footnote>
  <w:footnote w:type="continuationSeparator" w:id="0">
    <w:p w:rsidR="001D6D78" w:rsidRDefault="001D6D78" w:rsidP="00315FD2">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E274366"/>
    <w:rsid w:val="001D6D78"/>
    <w:rsid w:val="00315FD2"/>
    <w:rsid w:val="00AA2C97"/>
    <w:rsid w:val="00AD3B7F"/>
    <w:rsid w:val="00D803FB"/>
    <w:rsid w:val="027F5D57"/>
    <w:rsid w:val="38B8758B"/>
    <w:rsid w:val="3FF80156"/>
    <w:rsid w:val="53314826"/>
    <w:rsid w:val="57677F68"/>
    <w:rsid w:val="7E2743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3AAF83-625B-4845-B16B-DE475A8E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C97"/>
    <w:pPr>
      <w:widowControl w:val="0"/>
    </w:pPr>
    <w:rPr>
      <w:rFonts w:ascii="Calibri" w:eastAsia="宋体" w:hAnsi="Calibri" w:hint="eastAsia"/>
      <w:kern w:val="2"/>
      <w:sz w:val="21"/>
      <w:szCs w:val="22"/>
    </w:rPr>
  </w:style>
  <w:style w:type="paragraph" w:styleId="2">
    <w:name w:val="heading 2"/>
    <w:basedOn w:val="a"/>
    <w:next w:val="a"/>
    <w:unhideWhenUsed/>
    <w:qFormat/>
    <w:rsid w:val="00AA2C97"/>
    <w:pPr>
      <w:keepNext/>
      <w:keepLines/>
      <w:spacing w:line="415" w:lineRule="auto"/>
      <w:jc w:val="center"/>
      <w:outlineLvl w:val="1"/>
    </w:pPr>
    <w:rPr>
      <w:rFonts w:ascii="Cambria" w:eastAsia="黑体" w:hAnsi="Cambria"/>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AA2C97"/>
    <w:pPr>
      <w:widowControl/>
      <w:spacing w:beforeAutospacing="1" w:afterAutospacing="1"/>
    </w:pPr>
    <w:rPr>
      <w:rFonts w:ascii="宋体" w:hAnsi="宋体"/>
      <w:color w:val="000000"/>
      <w:sz w:val="24"/>
    </w:rPr>
  </w:style>
  <w:style w:type="character" w:customStyle="1" w:styleId="longtext1">
    <w:name w:val="long_text1"/>
    <w:basedOn w:val="a0"/>
    <w:uiPriority w:val="99"/>
    <w:unhideWhenUsed/>
    <w:qFormat/>
    <w:rsid w:val="00AA2C97"/>
    <w:rPr>
      <w:rFonts w:ascii="Times New Roman" w:hint="default"/>
      <w:sz w:val="20"/>
    </w:rPr>
  </w:style>
  <w:style w:type="paragraph" w:styleId="a4">
    <w:name w:val="header"/>
    <w:basedOn w:val="a"/>
    <w:link w:val="Char"/>
    <w:rsid w:val="00315F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15FD2"/>
    <w:rPr>
      <w:rFonts w:ascii="Calibri" w:eastAsia="宋体" w:hAnsi="Calibri"/>
      <w:kern w:val="2"/>
      <w:sz w:val="18"/>
      <w:szCs w:val="18"/>
    </w:rPr>
  </w:style>
  <w:style w:type="paragraph" w:styleId="a5">
    <w:name w:val="footer"/>
    <w:basedOn w:val="a"/>
    <w:link w:val="Char0"/>
    <w:rsid w:val="00315FD2"/>
    <w:pPr>
      <w:tabs>
        <w:tab w:val="center" w:pos="4153"/>
        <w:tab w:val="right" w:pos="8306"/>
      </w:tabs>
      <w:snapToGrid w:val="0"/>
    </w:pPr>
    <w:rPr>
      <w:sz w:val="18"/>
      <w:szCs w:val="18"/>
    </w:rPr>
  </w:style>
  <w:style w:type="character" w:customStyle="1" w:styleId="Char0">
    <w:name w:val="页脚 Char"/>
    <w:basedOn w:val="a0"/>
    <w:link w:val="a5"/>
    <w:rsid w:val="00315FD2"/>
    <w:rPr>
      <w:rFonts w:ascii="Calibri" w:eastAsia="宋体"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233</Words>
  <Characters>1330</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yoyo</dc:creator>
  <cp:lastModifiedBy>Dell</cp:lastModifiedBy>
  <cp:revision>2</cp:revision>
  <dcterms:created xsi:type="dcterms:W3CDTF">2017-11-22T06:19:00Z</dcterms:created>
  <dcterms:modified xsi:type="dcterms:W3CDTF">2017-11-22T06:19:00Z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